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sz w:val="24"/>
        </w:rPr>
        <w:pict>
          <v:shape id="_x0000_s2051" o:spid="_x0000_s2051" o:spt="202" type="#_x0000_t202" style="position:absolute;left:0pt;margin-left:101.05pt;margin-top:-41.95pt;height:30.65pt;width:550.6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ascii="Times New Roman" w:hAnsi="Times New Roman" w:eastAsia="方正小标宋简体" w:cs="Times New Roman"/>
                      <w:kern w:val="0"/>
                      <w:sz w:val="32"/>
                      <w:szCs w:val="32"/>
                      <w:u w:color="FFFFFF" w:themeColor="background1"/>
                    </w:rPr>
                  </w:pPr>
                  <w:r>
                    <w:rPr>
                      <w:rFonts w:ascii="Times New Roman" w:hAnsi="Times New Roman" w:eastAsia="方正小标宋简体" w:cs="Times New Roman"/>
                      <w:kern w:val="0"/>
                      <w:sz w:val="32"/>
                      <w:szCs w:val="32"/>
                      <w:u w:color="FFFFFF" w:themeColor="background1"/>
                    </w:rPr>
                    <w:t>潍坊医学院201</w:t>
                  </w:r>
                  <w:r>
                    <w:rPr>
                      <w:rFonts w:hint="eastAsia" w:ascii="Times New Roman" w:hAnsi="Times New Roman" w:eastAsia="方正小标宋简体" w:cs="Times New Roman"/>
                      <w:kern w:val="0"/>
                      <w:sz w:val="32"/>
                      <w:szCs w:val="32"/>
                      <w:u w:color="FFFFFF" w:themeColor="background1"/>
                      <w:lang w:val="en-US" w:eastAsia="zh-CN"/>
                    </w:rPr>
                    <w:t>8</w:t>
                  </w:r>
                  <w:r>
                    <w:rPr>
                      <w:rFonts w:ascii="Times New Roman" w:hAnsi="Times New Roman" w:eastAsia="方正小标宋简体" w:cs="Times New Roman"/>
                      <w:kern w:val="0"/>
                      <w:sz w:val="32"/>
                      <w:szCs w:val="32"/>
                      <w:u w:color="FFFFFF" w:themeColor="background1"/>
                    </w:rPr>
                    <w:t>年度党风廉政建设</w:t>
                  </w:r>
                  <w:r>
                    <w:rPr>
                      <w:rFonts w:hint="eastAsia" w:ascii="Times New Roman" w:hAnsi="Times New Roman" w:eastAsia="方正小标宋简体" w:cs="Times New Roman"/>
                      <w:kern w:val="0"/>
                      <w:sz w:val="32"/>
                      <w:szCs w:val="32"/>
                      <w:u w:color="FFFFFF" w:themeColor="background1"/>
                    </w:rPr>
                    <w:t>目标任务检查考核赋分</w:t>
                  </w:r>
                  <w:r>
                    <w:rPr>
                      <w:rFonts w:ascii="Times New Roman" w:hAnsi="Times New Roman" w:eastAsia="方正小标宋简体" w:cs="Times New Roman"/>
                      <w:kern w:val="0"/>
                      <w:sz w:val="32"/>
                      <w:szCs w:val="32"/>
                      <w:u w:color="FFFFFF" w:themeColor="background1"/>
                    </w:rPr>
                    <w:t>表</w:t>
                  </w:r>
                </w:p>
                <w:p>
                  <w:pPr/>
                </w:p>
              </w:txbxContent>
            </v:textbox>
          </v:shape>
        </w:pict>
      </w:r>
      <w:r>
        <w:rPr>
          <w:rFonts w:hint="eastAsia" w:ascii="Times New Roman" w:hAnsi="Times New Roman" w:eastAsia="仿宋_GB2312" w:cs="Times New Roman"/>
          <w:sz w:val="24"/>
          <w:szCs w:val="24"/>
        </w:rPr>
        <w:t>单位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(盖章)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>日期：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201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7"/>
        <w:tblW w:w="135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222"/>
        <w:gridCol w:w="850"/>
        <w:gridCol w:w="992"/>
        <w:gridCol w:w="9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考核指标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考核内容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分值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>扣分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  <w:t>从严抓管党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ascii="Times New Roman" w:hAnsi="仿宋_GB2312" w:eastAsia="仿宋_GB2312" w:cs="Times New Roman"/>
                <w:color w:val="000000"/>
                <w:szCs w:val="21"/>
              </w:rPr>
              <w:t>20分</w:t>
            </w: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  <w:t>落实主要负责人责任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Cs w:val="21"/>
              </w:rPr>
              <w:t>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  <w:t>2.落实领导班子成员责任。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  <w:t>严肃党内政治生活。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Cs w:val="21"/>
              </w:rPr>
              <w:t>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</w:rPr>
              <w:t>坚持失责必问、问责必严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从严抓思想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（10分)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5.强化理想信念教育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4分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6.推进党内法规学习贯彻。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4分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7.加强廉政文化建设。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2分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从严抓执纪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（20分)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8.严明政治纪律和政治规矩。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6分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9.有效运用监督执纪“四种形态”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8分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10.强化监督检查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6分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从严管干部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(15分)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11.营造风清气正选人用人环境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5分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12.加强政治生态建设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4分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13.强化监督管理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6分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从严抓作风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(15分)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14.持续推进作风建设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10分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15.激励党员干部忠诚干净担当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5分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从严抓反腐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(20分)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16.定期开展党风廉政建设工作检查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6分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17.支持配合纪检监察机关监督执纪问责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4分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18.做好廉政风险防控工作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6分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19.切实抓好专项治理工作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Cs w:val="21"/>
                <w:lang w:val="en-US" w:eastAsia="zh-CN"/>
              </w:rPr>
              <w:t>4分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sz w:val="21"/>
              </w:rPr>
              <w:pict>
                <v:shape id="_x0000_s2050" o:spid="_x0000_s2050" o:spt="202" type="#_x0000_t202" style="position:absolute;left:0pt;margin-left:11pt;margin-top:13.15pt;height:42.45pt;width:656.25pt;z-index:251658240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黑体" w:hAnsi="黑体" w:eastAsia="黑体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Times New Roman"/>
                            <w:sz w:val="24"/>
                            <w:szCs w:val="24"/>
                          </w:rPr>
                          <w:t>注：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  <w:t>1.总分100分；2.赋分标准按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4"/>
                            <w:szCs w:val="24"/>
                          </w:rPr>
                          <w:t>《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4"/>
                            <w:szCs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  <w:t>年度党风廉政建设责任书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4"/>
                            <w:szCs w:val="24"/>
                          </w:rPr>
                          <w:t>》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  <w:t>执行；3.加盖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4"/>
                            <w:szCs w:val="24"/>
                          </w:rPr>
                          <w:t>党总支（党委）或部门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  <w:t>公章后报学校纪委办公室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4"/>
                            <w:szCs w:val="24"/>
                            <w:lang w:val="en-US" w:eastAsia="zh-CN"/>
                          </w:rPr>
                          <w:t>(526)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  <w:t>。</w:t>
                        </w:r>
                      </w:p>
                      <w:p>
                        <w:pPr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szCs w:val="21"/>
              </w:rPr>
              <w:t>计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100分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Times New Roman" w:hAnsi="Times New Roman" w:eastAsia="仿宋_GB2312" w:cs="Times New Roman"/>
          <w:sz w:val="24"/>
          <w:szCs w:val="24"/>
        </w:rPr>
      </w:pPr>
    </w:p>
    <w:sectPr>
      <w:head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left"/>
      <w:rPr>
        <w:rFonts w:ascii="黑体" w:hAnsi="黑体" w:eastAsia="黑体"/>
        <w:sz w:val="28"/>
        <w:szCs w:val="28"/>
      </w:rPr>
    </w:pPr>
    <w:r>
      <w:rPr>
        <w:rFonts w:hint="eastAsia" w:ascii="黑体" w:hAnsi="黑体" w:eastAsia="黑体"/>
        <w:sz w:val="28"/>
        <w:szCs w:val="28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125132111">
    <w:nsid w:val="F5E0854F"/>
    <w:multiLevelType w:val="singleLevel"/>
    <w:tmpl w:val="F5E0854F"/>
    <w:lvl w:ilvl="0" w:tentative="1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125132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CBC"/>
    <w:rsid w:val="000755AD"/>
    <w:rsid w:val="000E049D"/>
    <w:rsid w:val="0024161C"/>
    <w:rsid w:val="004D566F"/>
    <w:rsid w:val="0053024B"/>
    <w:rsid w:val="005E0BD7"/>
    <w:rsid w:val="00727FB9"/>
    <w:rsid w:val="007D6ABE"/>
    <w:rsid w:val="00827497"/>
    <w:rsid w:val="00924103"/>
    <w:rsid w:val="00981C37"/>
    <w:rsid w:val="009C3520"/>
    <w:rsid w:val="00AE295A"/>
    <w:rsid w:val="00AF09D5"/>
    <w:rsid w:val="00AF3F6A"/>
    <w:rsid w:val="00C04CBC"/>
    <w:rsid w:val="00C4338C"/>
    <w:rsid w:val="00C47F54"/>
    <w:rsid w:val="00D6518C"/>
    <w:rsid w:val="00E202A3"/>
    <w:rsid w:val="00E26569"/>
    <w:rsid w:val="00E41D2E"/>
    <w:rsid w:val="00E63E8A"/>
    <w:rsid w:val="00FC119F"/>
    <w:rsid w:val="0512392D"/>
    <w:rsid w:val="123D14E8"/>
    <w:rsid w:val="2EAC3B27"/>
    <w:rsid w:val="3F902E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39F6E-0342-4130-80FF-7A27C77A0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2017-12-12T00:52:00Z</dcterms:created>
  <dc:creator>WFMC</dc:creator>
  <cp:lastModifiedBy>Administrator</cp:lastModifiedBy>
  <cp:lastPrinted>2019-01-04T01:58:00Z</cp:lastPrinted>
  <dcterms:modified xsi:type="dcterms:W3CDTF">2019-01-05T07:52:40Z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